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21 166 vom 12. Juni 2023</w:t>
      </w:r>
    </w:p>
    <w:p>
      <w:r>
        <w:t>VS Kantonsgericht, 2023-06-12, FR</w:t>
      </w:r>
    </w:p>
    <w:p>
      <w:r>
        <w:rPr>
          <w:b/>
        </w:rPr>
        <w:t xml:space="preserve">Quelle: </w:t>
      </w:r>
      <w:r>
        <w:t>https://mcp.opencaselaw.ch/entscheid/vs_gerichte_A1 21 166</w:t>
      </w:r>
    </w:p>
    <w:p>
      <w:r>
        <w:t>FR: VS_GERICHTE A1 21 166 du 12 juin 2023</w:t>
      </w:r>
    </w:p>
    <w:p>
      <w:r>
        <w:t>IT: VS_GERICHTE A1 21 166 del 12 giugno 2023</w:t>
      </w:r>
    </w:p>
    <w:p>
      <w:pPr>
        <w:pStyle w:val="Heading2"/>
      </w:pPr>
      <w:r>
        <w:t>Regeste</w:t>
      </w:r>
    </w:p>
    <w:p>
      <w:r>
        <w:t>A1 21 166 Tribunal cantonal Cour de droit public DECISION DU 12 JUIN 2023 rendue par Le soussigné, statuant ce jour en qualité de juge unique au Palais de justice, à Sion ; en la cause pendante entre LA COMMUNAUTE DES COPROPRIETAIRES PAR ETAGES DE L’IMMEUBLE « X _________ », A _________, et Y _________, de siège social à Genève, toutes deux recourantes et représentées par Maître Christian Favre, avocat à Sion, et CONSEIL D'ETAT DU VALAIS, 1951 Sion, autorité attaquée, et Z _________, B _________, autre autorité, représentée par Maître Guillaume Grand, avocat, 1950 Sion 2 Nord (cause devenue sans objet ; frais et dépens)</w:t>
      </w:r>
    </w:p>
    <w:p>
      <w:pPr>
        <w:pStyle w:val="Heading2"/>
      </w:pPr>
      <w:r>
        <w:t>Erwägungen</w:t>
      </w:r>
    </w:p>
    <w:p>
      <w:r>
        <w:rPr>
          <w:b/>
        </w:rPr>
        <w:t>E. 11</w:t>
      </w:r>
    </w:p>
    <w:p>
      <w:r>
        <w:t>septembre 2014 ; que, de même, l’avance de l’avance de 1500 fr. effectuée le 9 août 2021 par les intéressées leur sera restituée par le Tribunal cantonal ; que, s’agissant de la fixation des dépens, il convient au préalable de rappeler brièvement quelques principes ; que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 que dans des circonstances particulières, les honoraires peuvent en outre être taxés au-dessus ou, au contraire, au-dessous des limites légales (art. 29 al. 1 et 2 LTar) ; que l’article 29 al. 3 LTar précise, en particulier, qu'en cas de désistement, de retrait du recours, de jugement par défaut, de transaction, d'irrecevabilité et, d'une manière générale, lorsque la cause ne se termine pas par un jugement au fond, les honoraires peuvent être réduits en conséquence ; qu’en matière de droit public, les honoraires sont fixés d'après les règles des articles 37 ss LTar ; que la LTar prévoir des honoraires allant de 550 à 8800 fr. pour la procédure de recours administratif (art. 37 al. 2 LTar) et de 1100 à 11'000 fr. pour celle de recours de droit administratif (art. 39 al. 1 LTar) ; que la LTar consacre le principe de l'évaluation globale des dépens (art. 4 al. 1 et art. 27 al. 4 LTar) ; que l’autorité dispose dans ce cadre d’un large pouvoir d'appréciation qu’elle doit néanmoins exercer dans les limites fixées par la loi (ATF 143 I 227 consid. 4.3.3) ; que la rémunération que prévoit la LTar est fixée sur la base d’un forfait et non en fonction d’un tarif horaire (ACDP A1 22 123 du 5 avril 2023 consid. 2.3.3) ; que si l’art. 5 al. 2 LTar prévoit la faculté de déposer un décompte de prestations, ce dernier ne lie cependant pas l’autorité de recours ou le juge (arrêt du Tribunal fédéral 2C_162/2013 du 8 juillet 2013 consid. 3.2 ; ACDP A1 22 123 précité consid. 2.3.3) ; que, s’agissant des frais, ceux résultant de démarches inutiles ou superflues ne sont en particulier pas pris en considération au moment de la fixation de l’indemnité de dépens (ACDP A1 22 123 précité consid. 2.3.3) ; qu’ainsi, les courriers adressés par</w:t>
      </w:r>
    </w:p>
    <w:p>
      <w:r>
        <w:t>- 5 - l’avocat à son client sont pris en compte seulement s’ils apparaissent nécessaires à l’exécution du mandat (Ordonnance de la Chambre pénale P3 21 103 du 13 octobre 2021 p. 11/12) ; que les frais de secrétariat font partie des frais généraux d’une étude et sont compris dans les honoraires d’avocat ; qu’il en va de même de l’établissement de la note d’honoraires, opération qui ne doit pas être indemnisée, ou encore des activités de nature administrative, comme la transmission de pièces ou de copies, les brefs contacts téléphoniques ainsi que l’établissement de télécopies ou de brèves correspondances, telles celles nécessitant environ cinq minutes de travail (ACDP A1 22 123 précité consid. 2.3.3), ou l’ouverture du dossier (Ordonnance de la Chambre pénale P3 20 202 du 2 décembre 2021 p. 10) ; qu’enfin, la garantie du droit d’être entendu en matière de dépens implique que le juge qui veut s’écarter d’une note de frais indique brièvement pourquoi il tient certaines prestations pour injustifiées afin que le destinataire de sa décision puisse l’attaquer utilement (arrêts du Tribunal fédéral 9C_510/2021 du 13 mai 2022 consid. 3.2.1 et 4D_37/2018 du 5 avril 2019 consid. 4). qu’en l’occurrence, les recourantes ont déposé un décompte LTar qui comporte notamment les opérations effectuées entre le 18 juin 2014 et le 7 juin 2023 ; que, ce faisant, elles oublient que dans son arrêt du 21 septembre 2018, aujourd’hui entré en force, le Tribunal cantonal avait alloué aux intéressées une indemnité de 1800 fr. (cf. consid. 7.2 et chiffre 4 du dispositif) pour fixer les dépens encourus devant le Conseil d’Etat et le Tribunal cantonal jusqu’au 21 septembre 2018 ; que, partant, toutes les opérations précitées sont écartées ; que le travail déployé par Me Christian Favre entre le 26 septembre 2018 (date de réception de l’arrêt du Tribunal cantonal) et le 7 juin 2023 a principalement consisté en une nouvelle prise de connaissance du dossier et en la rédaction d’une opposition à la CCC (le 23 novembre 2018), d’une détermination circonstanciée (le 28 octobre 2019) à la Chancellerie, du recours de droit administratif du 29 juillet 2021 (accompagné de 5 annexes) et de 15 lettres entrant utilement dans le cadre de son mandat d’avocat ; que le temps indiqué (17h) et la tarif horaire appliqué (300 fr. hors TVA) pour ces opérations dans le décompte du 7 juin 2023 est parfaitement correct ; que les honoraires de Me Favre sont donc fixés (chiffre arrondi) à (TVA comprise) 5500 francs;</w:t>
      </w:r>
    </w:p>
    <w:p>
      <w:r>
        <w:t>- 6 - que s’ajoutent à ce montant les débours pour les frais de copie (calculés à 0,50 cts l’unité [cf. ATF 118 Ib 349 consid. 5a]) et les frais de port (au tarif postal usuel), fixés à (en chiffre arrondi) 200 francs ;</w:t>
      </w:r>
    </w:p>
    <w:p>
      <w:r>
        <w:t>qu’en définitive, la Z _________ versera à la CPPE de l’immeuble « X _________+ et à Y _________, solidairement entre elles, 5700 fr. à titre de dépens.</w:t>
      </w:r>
    </w:p>
    <w:p>
      <w:r>
        <w:t>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